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H relativeFrom="margin">
              <wp14:pctWidth>0</wp14:pctWidth>
            </wp14:sizeRelH>
            <wp14:sizeRelV relativeFrom="margin">
              <wp14:pctHeight>0</wp14:pctHeight>
            </wp14:sizeRelV>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A8297B">
      <w:pPr>
        <w:contextualSpacing w:val="0"/>
        <w:jc w:val="center"/>
      </w:pPr>
      <w:r>
        <w:rPr>
          <w:b/>
        </w:rPr>
        <w:t>Bill Number: ASF1819014</w:t>
      </w:r>
    </w:p>
    <w:p w:rsidR="00F225ED" w:rsidRDefault="00B3277C">
      <w:pPr>
        <w:contextualSpacing w:val="0"/>
        <w:jc w:val="both"/>
      </w:pPr>
      <w:r>
        <w:t xml:space="preserve"> </w:t>
      </w:r>
    </w:p>
    <w:p w:rsidR="00F225ED" w:rsidRDefault="00B3277C">
      <w:pPr>
        <w:contextualSpacing w:val="0"/>
        <w:jc w:val="both"/>
      </w:pPr>
      <w:r>
        <w:rPr>
          <w:b/>
        </w:rPr>
        <w:t>Author:</w:t>
      </w:r>
      <w:r w:rsidR="00497FB2">
        <w:t xml:space="preserve"> Bri</w:t>
      </w:r>
      <w:r w:rsidR="008436FE">
        <w:t>ana</w:t>
      </w:r>
      <w:r w:rsidR="00497FB2">
        <w:t xml:space="preserve"> Gonzales</w:t>
      </w:r>
    </w:p>
    <w:p w:rsidR="00F225ED" w:rsidRDefault="00B3277C">
      <w:pPr>
        <w:contextualSpacing w:val="0"/>
        <w:jc w:val="both"/>
      </w:pPr>
      <w:r>
        <w:rPr>
          <w:b/>
        </w:rPr>
        <w:t>Sponsor:</w:t>
      </w:r>
      <w:r w:rsidR="00497FB2">
        <w:t xml:space="preserve"> </w:t>
      </w:r>
      <w:r w:rsidR="00A8297B">
        <w:t>Biology and Earth Science Senator Rosado</w:t>
      </w:r>
      <w:bookmarkStart w:id="0" w:name="_GoBack"/>
      <w:bookmarkEnd w:id="0"/>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What</w:t>
      </w:r>
      <w:r>
        <w:t xml:space="preserve">: </w:t>
      </w:r>
      <w:r w:rsidR="00D2693D">
        <w:t>Constitutional</w:t>
      </w:r>
      <w:r w:rsidR="0034155E">
        <w:t xml:space="preserve"> Change</w:t>
      </w:r>
    </w:p>
    <w:p w:rsidR="00F225ED" w:rsidRDefault="00B3277C">
      <w:pPr>
        <w:contextualSpacing w:val="0"/>
        <w:jc w:val="both"/>
      </w:pPr>
      <w:r>
        <w:rPr>
          <w:b/>
        </w:rPr>
        <w:t>Why</w:t>
      </w:r>
      <w:r w:rsidR="009B16A1">
        <w:t>: To better provide for the needs of ASU and more specifically AS&amp;F</w:t>
      </w:r>
    </w:p>
    <w:p w:rsidR="00F225ED" w:rsidRDefault="00B3277C">
      <w:pPr>
        <w:contextualSpacing w:val="0"/>
        <w:jc w:val="both"/>
      </w:pPr>
      <w:r>
        <w:t xml:space="preserve"> </w:t>
      </w:r>
    </w:p>
    <w:p w:rsidR="00F225ED" w:rsidRDefault="00B3277C">
      <w:pPr>
        <w:contextualSpacing w:val="0"/>
        <w:jc w:val="both"/>
      </w:pPr>
      <w:r>
        <w:rPr>
          <w:b/>
        </w:rPr>
        <w:t>Author Contact Information:</w:t>
      </w:r>
      <w:r w:rsidR="00497FB2">
        <w:t xml:space="preserve"> gonzalesbl3@grizzlies.adams.edu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w:t>
      </w:r>
      <w:r w:rsidR="00BC63ED">
        <w:t>/</w:t>
      </w:r>
      <w:r w:rsidR="001F1E17">
        <w:t>A</w:t>
      </w:r>
    </w:p>
    <w:p w:rsidR="00F225ED" w:rsidRDefault="00B3277C">
      <w:pPr>
        <w:contextualSpacing w:val="0"/>
        <w:jc w:val="both"/>
      </w:pPr>
      <w:r>
        <w:t xml:space="preserve"> </w:t>
      </w:r>
    </w:p>
    <w:p w:rsidR="001F1E17" w:rsidRDefault="00B3277C" w:rsidP="00FE2A0E">
      <w:pPr>
        <w:contextualSpacing w:val="0"/>
        <w:jc w:val="both"/>
      </w:pPr>
      <w:r>
        <w:rPr>
          <w:b/>
        </w:rPr>
        <w:t xml:space="preserve">Additional </w:t>
      </w:r>
      <w:r w:rsidR="0034155E">
        <w:rPr>
          <w:b/>
        </w:rPr>
        <w:t>Information</w:t>
      </w:r>
      <w:r w:rsidR="0034155E">
        <w:t>:</w:t>
      </w:r>
      <w:r w:rsidR="00E567AD">
        <w:rPr>
          <w:b/>
        </w:rPr>
        <w:t xml:space="preserve"> </w:t>
      </w:r>
      <w:r w:rsidR="00D2693D">
        <w:t>For th</w:t>
      </w:r>
      <w:r w:rsidR="00FB2809">
        <w:t>is bill, I am proposing one constitutional change</w:t>
      </w:r>
      <w:r w:rsidR="00D2693D">
        <w:t xml:space="preserve">. </w:t>
      </w:r>
    </w:p>
    <w:p w:rsidR="00280925" w:rsidRDefault="00280925" w:rsidP="00FE2A0E">
      <w:pPr>
        <w:contextualSpacing w:val="0"/>
        <w:jc w:val="both"/>
        <w:rPr>
          <w:u w:val="single"/>
        </w:rPr>
      </w:pPr>
    </w:p>
    <w:p w:rsidR="00BB5C53" w:rsidRDefault="00495073" w:rsidP="00495073">
      <w:pPr>
        <w:contextualSpacing w:val="0"/>
        <w:jc w:val="both"/>
      </w:pPr>
      <w:r w:rsidRPr="00497FB2">
        <w:rPr>
          <w:u w:val="single"/>
        </w:rPr>
        <w:t>First:</w:t>
      </w:r>
      <w:r w:rsidR="00D2693D">
        <w:t xml:space="preserve"> </w:t>
      </w:r>
      <w:r>
        <w:t>Article IV Section 1 shall be updated to match our current census members. Because the constitution requires the seats be updated on an enrollment census every three years, the next census date will be updated and shall happen in Spring 2021. Based on the census, the number of seats will be updated.</w:t>
      </w:r>
      <w:r w:rsidR="00FB2809">
        <w:t xml:space="preserve"> </w:t>
      </w:r>
    </w:p>
    <w:p w:rsidR="00BB5C53" w:rsidRDefault="00BB5C53" w:rsidP="00495073">
      <w:pPr>
        <w:contextualSpacing w:val="0"/>
        <w:jc w:val="both"/>
      </w:pPr>
    </w:p>
    <w:p w:rsidR="00495073" w:rsidRDefault="00FB2809" w:rsidP="00495073">
      <w:pPr>
        <w:contextualSpacing w:val="0"/>
        <w:jc w:val="both"/>
      </w:pPr>
      <w:r>
        <w:t>As stated above, due to our census numbers and merging of departments Article IV Section 1 must update. As of Fall 2018 to Spring 2021, Art will now state Art &amp; Theatre, and English, Theatre, and Communications shall state English</w:t>
      </w:r>
      <w:r w:rsidR="00BB5C53">
        <w:t xml:space="preserve"> Communications</w:t>
      </w:r>
      <w:r>
        <w:t xml:space="preserve">. </w:t>
      </w:r>
      <w:r w:rsidR="00EF06D1">
        <w:t xml:space="preserve">The constitution shall read: </w:t>
      </w:r>
    </w:p>
    <w:p w:rsidR="0088458A" w:rsidRDefault="0088458A" w:rsidP="00495073">
      <w:pPr>
        <w:spacing w:line="360" w:lineRule="auto"/>
        <w:ind w:right="45"/>
      </w:pPr>
    </w:p>
    <w:p w:rsidR="00FB2809" w:rsidRPr="00FB2809" w:rsidRDefault="00FB2809" w:rsidP="00FB2809">
      <w:pPr>
        <w:widowControl/>
        <w:spacing w:line="360" w:lineRule="auto"/>
        <w:contextualSpacing w:val="0"/>
        <w:rPr>
          <w:rFonts w:ascii="Times New Roman" w:eastAsia="Times New Roman" w:hAnsi="Times New Roman" w:cs="Times New Roman"/>
          <w:color w:val="auto"/>
          <w:sz w:val="20"/>
          <w:szCs w:val="20"/>
        </w:rPr>
      </w:pPr>
      <w:r w:rsidRPr="00FB2809">
        <w:rPr>
          <w:rFonts w:ascii="Times New Roman" w:eastAsia="Times New Roman" w:hAnsi="Times New Roman" w:cs="Times New Roman"/>
          <w:color w:val="auto"/>
          <w:sz w:val="20"/>
          <w:szCs w:val="20"/>
        </w:rPr>
        <w:t xml:space="preserve">From the </w:t>
      </w:r>
      <w:r w:rsidRPr="00FB2809">
        <w:rPr>
          <w:rFonts w:ascii="Times New Roman" w:eastAsia="Times New Roman" w:hAnsi="Times New Roman" w:cs="Times New Roman"/>
          <w:color w:val="auto"/>
          <w:sz w:val="20"/>
          <w:szCs w:val="20"/>
          <w:highlight w:val="yellow"/>
        </w:rPr>
        <w:t>2018/2019</w:t>
      </w:r>
      <w:r w:rsidRPr="00FB2809">
        <w:rPr>
          <w:rFonts w:ascii="Times New Roman" w:eastAsia="Times New Roman" w:hAnsi="Times New Roman" w:cs="Times New Roman"/>
          <w:color w:val="auto"/>
          <w:sz w:val="20"/>
          <w:szCs w:val="20"/>
        </w:rPr>
        <w:t xml:space="preserve"> academic year through the end of the </w:t>
      </w:r>
      <w:r w:rsidRPr="00FB2809">
        <w:rPr>
          <w:rFonts w:ascii="Times New Roman" w:eastAsia="Times New Roman" w:hAnsi="Times New Roman" w:cs="Times New Roman"/>
          <w:color w:val="auto"/>
          <w:sz w:val="20"/>
          <w:szCs w:val="20"/>
          <w:highlight w:val="yellow"/>
        </w:rPr>
        <w:t>2020/2021</w:t>
      </w:r>
      <w:r w:rsidRPr="00FB2809">
        <w:rPr>
          <w:rFonts w:ascii="Times New Roman" w:eastAsia="Times New Roman" w:hAnsi="Times New Roman" w:cs="Times New Roman"/>
          <w:color w:val="auto"/>
          <w:sz w:val="20"/>
          <w:szCs w:val="20"/>
        </w:rPr>
        <w:t xml:space="preserve"> academic year the seats shall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5213"/>
      </w:tblGrid>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Art </w:t>
            </w:r>
            <w:r w:rsidRPr="00FB2809">
              <w:rPr>
                <w:rFonts w:ascii="Calibri" w:eastAsia="Calibri" w:hAnsi="Calibri" w:cs="Times New Roman"/>
                <w:color w:val="auto"/>
                <w:sz w:val="20"/>
                <w:highlight w:val="yellow"/>
              </w:rPr>
              <w:t>&amp; Theatre</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1823B7">
              <w:rPr>
                <w:rFonts w:ascii="Calibri" w:eastAsia="Calibri" w:hAnsi="Calibri" w:cs="Times New Roman"/>
                <w:color w:val="auto"/>
                <w:sz w:val="20"/>
                <w:highlight w:val="yellow"/>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Biology &amp; Earth Science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2</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Business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4</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Chemistry, Computer, and Mathematics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BB5C53">
              <w:rPr>
                <w:rFonts w:ascii="Calibri" w:eastAsia="Calibri" w:hAnsi="Calibri" w:cs="Times New Roman"/>
                <w:color w:val="auto"/>
                <w:sz w:val="20"/>
                <w:highlight w:val="yellow"/>
              </w:rPr>
              <w:t>English</w:t>
            </w:r>
            <w:r w:rsidR="00BB5C53" w:rsidRPr="00BB5C53">
              <w:rPr>
                <w:rFonts w:ascii="Calibri" w:eastAsia="Calibri" w:hAnsi="Calibri" w:cs="Times New Roman"/>
                <w:color w:val="auto"/>
                <w:sz w:val="20"/>
                <w:highlight w:val="yellow"/>
              </w:rPr>
              <w:t xml:space="preserve"> Communications</w:t>
            </w:r>
            <w:r>
              <w:rPr>
                <w:rFonts w:ascii="Calibri" w:eastAsia="Calibri" w:hAnsi="Calibri" w:cs="Times New Roman"/>
                <w:color w:val="auto"/>
                <w:sz w:val="20"/>
              </w:rPr>
              <w:t xml:space="preserve"> </w:t>
            </w:r>
            <w:r w:rsidRPr="00FB2809">
              <w:rPr>
                <w:rFonts w:ascii="Calibri" w:eastAsia="Calibri" w:hAnsi="Calibri" w:cs="Times New Roman"/>
                <w:color w:val="auto"/>
                <w:sz w:val="20"/>
              </w:rPr>
              <w:t xml:space="preserve">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highlight w:val="yellow"/>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HAPPS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HPPE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3</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lastRenderedPageBreak/>
              <w:t xml:space="preserve">Interdisciplinary Studies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Music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Nursing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1823B7">
              <w:rPr>
                <w:rFonts w:ascii="Calibri" w:eastAsia="Calibri" w:hAnsi="Calibri" w:cs="Times New Roman"/>
                <w:color w:val="auto"/>
                <w:sz w:val="20"/>
              </w:rPr>
              <w:t>2</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 xml:space="preserve">Psychology </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2</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EF06D1">
              <w:rPr>
                <w:rFonts w:ascii="Calibri" w:eastAsia="Calibri" w:hAnsi="Calibri" w:cs="Times New Roman"/>
                <w:color w:val="auto"/>
                <w:sz w:val="20"/>
              </w:rPr>
              <w:t>Sociology</w:t>
            </w:r>
            <w:r w:rsidRPr="00FB2809">
              <w:rPr>
                <w:rFonts w:ascii="Calibri" w:eastAsia="Calibri" w:hAnsi="Calibri" w:cs="Times New Roman"/>
                <w:color w:val="auto"/>
                <w:sz w:val="20"/>
              </w:rPr>
              <w:t xml:space="preserve"> </w:t>
            </w:r>
          </w:p>
        </w:tc>
        <w:tc>
          <w:tcPr>
            <w:tcW w:w="5361" w:type="dxa"/>
            <w:shd w:val="clear" w:color="auto" w:fill="auto"/>
          </w:tcPr>
          <w:p w:rsidR="00FB2809" w:rsidRPr="00FB2809" w:rsidRDefault="00E37C1B" w:rsidP="00FB2809">
            <w:pPr>
              <w:widowControl/>
              <w:spacing w:line="360" w:lineRule="auto"/>
              <w:contextualSpacing w:val="0"/>
              <w:rPr>
                <w:rFonts w:ascii="Calibri" w:eastAsia="Calibri" w:hAnsi="Calibri" w:cs="Times New Roman"/>
                <w:color w:val="auto"/>
                <w:sz w:val="20"/>
              </w:rPr>
            </w:pPr>
            <w:r w:rsidRPr="00E37C1B">
              <w:rPr>
                <w:rFonts w:ascii="Calibri" w:eastAsia="Calibri" w:hAnsi="Calibri" w:cs="Times New Roman"/>
                <w:color w:val="auto"/>
                <w:sz w:val="20"/>
                <w:highlight w:val="yellow"/>
              </w:rPr>
              <w:t>2</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Teacher Education</w:t>
            </w:r>
          </w:p>
        </w:tc>
        <w:tc>
          <w:tcPr>
            <w:tcW w:w="5361"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1</w:t>
            </w:r>
          </w:p>
        </w:tc>
      </w:tr>
      <w:tr w:rsidR="00FB2809" w:rsidRPr="00FB2809" w:rsidTr="00C66BC2">
        <w:tc>
          <w:tcPr>
            <w:tcW w:w="4215" w:type="dxa"/>
            <w:shd w:val="clear" w:color="auto" w:fill="auto"/>
          </w:tcPr>
          <w:p w:rsidR="00FB2809" w:rsidRPr="00FB2809" w:rsidRDefault="00FB2809" w:rsidP="00FB2809">
            <w:pPr>
              <w:widowControl/>
              <w:spacing w:line="360" w:lineRule="auto"/>
              <w:contextualSpacing w:val="0"/>
              <w:rPr>
                <w:rFonts w:ascii="Calibri" w:eastAsia="Calibri" w:hAnsi="Calibri" w:cs="Times New Roman"/>
                <w:color w:val="auto"/>
                <w:sz w:val="20"/>
              </w:rPr>
            </w:pPr>
            <w:r w:rsidRPr="00FB2809">
              <w:rPr>
                <w:rFonts w:ascii="Calibri" w:eastAsia="Calibri" w:hAnsi="Calibri" w:cs="Times New Roman"/>
                <w:color w:val="auto"/>
                <w:sz w:val="20"/>
              </w:rPr>
              <w:t>Total Senators from Academic Departments:</w:t>
            </w:r>
          </w:p>
        </w:tc>
        <w:tc>
          <w:tcPr>
            <w:tcW w:w="5361" w:type="dxa"/>
            <w:shd w:val="clear" w:color="auto" w:fill="auto"/>
          </w:tcPr>
          <w:p w:rsidR="00FB2809" w:rsidRPr="00FB2809" w:rsidRDefault="00E37C1B" w:rsidP="00FB2809">
            <w:pPr>
              <w:widowControl/>
              <w:spacing w:line="360" w:lineRule="auto"/>
              <w:contextualSpacing w:val="0"/>
              <w:rPr>
                <w:rFonts w:ascii="Calibri" w:eastAsia="Calibri" w:hAnsi="Calibri" w:cs="Times New Roman"/>
                <w:color w:val="auto"/>
                <w:sz w:val="20"/>
              </w:rPr>
            </w:pPr>
            <w:r w:rsidRPr="00E37C1B">
              <w:rPr>
                <w:rFonts w:ascii="Calibri" w:eastAsia="Calibri" w:hAnsi="Calibri" w:cs="Times New Roman"/>
                <w:color w:val="auto"/>
                <w:sz w:val="20"/>
                <w:highlight w:val="yellow"/>
              </w:rPr>
              <w:t>22</w:t>
            </w:r>
          </w:p>
        </w:tc>
      </w:tr>
    </w:tbl>
    <w:p w:rsidR="00FB2809" w:rsidRDefault="00FB2809" w:rsidP="00495073">
      <w:pPr>
        <w:spacing w:line="360" w:lineRule="auto"/>
        <w:ind w:right="45"/>
      </w:pPr>
    </w:p>
    <w:p w:rsidR="00EF06D1" w:rsidRDefault="00EF06D1" w:rsidP="00495073">
      <w:pPr>
        <w:spacing w:line="360" w:lineRule="auto"/>
        <w:ind w:right="45"/>
      </w:pPr>
    </w:p>
    <w:p w:rsidR="00EF06D1" w:rsidRPr="00EF06D1" w:rsidRDefault="00EF06D1" w:rsidP="00EF06D1">
      <w:pPr>
        <w:spacing w:line="360" w:lineRule="auto"/>
        <w:ind w:right="45"/>
      </w:pPr>
      <w:r w:rsidRPr="00EF06D1">
        <w:rPr>
          <w:u w:val="single"/>
        </w:rPr>
        <w:t xml:space="preserve">Second: </w:t>
      </w:r>
      <w:r w:rsidR="00CD6979" w:rsidRPr="00CD6979">
        <w:t>Article IV Section 1</w:t>
      </w:r>
      <w:r w:rsidR="00CD6979">
        <w:t xml:space="preserve"> shall be updated t</w:t>
      </w:r>
      <w:r>
        <w:t xml:space="preserve">o represent all branches of CoRE, </w:t>
      </w:r>
      <w:r w:rsidRPr="00EF06D1">
        <w:t>One (1) Senator from Grizzly Activity Board</w:t>
      </w:r>
      <w:r>
        <w:t xml:space="preserve"> shall now state One (1) Senator from </w:t>
      </w:r>
      <w:r w:rsidRPr="005B5A52">
        <w:t>CoRE-Activities</w:t>
      </w:r>
      <w:r w:rsidR="00EC27DB" w:rsidRPr="005B5A52">
        <w:t xml:space="preserve"> &amp;</w:t>
      </w:r>
      <w:r w:rsidR="00CD6979" w:rsidRPr="005B5A52">
        <w:t xml:space="preserve"> Transitions</w:t>
      </w:r>
      <w:r w:rsidR="00C64F14" w:rsidRPr="005B5A52">
        <w:t xml:space="preserve"> to represent Orientation, First Year Immersion</w:t>
      </w:r>
      <w:r w:rsidR="00C64F14">
        <w:t>, Activities and GAB, the Loft, and CoRE Center and Student employees</w:t>
      </w:r>
      <w:r>
        <w:t>. In addition, we shall also add title of One (1) Senator from CoRE-Recreation &amp; Wellness</w:t>
      </w:r>
      <w:r w:rsidR="00C64F14">
        <w:t xml:space="preserve"> to represent the Rex gym, ASAP, Fitness &amp; Wellness, Food Pantry &amp; Campus Garden, Adventure Sports Club, and Community &amp; Grants, </w:t>
      </w:r>
      <w:r>
        <w:t xml:space="preserve">and </w:t>
      </w:r>
      <w:r w:rsidR="00C64F14">
        <w:t xml:space="preserve">finally </w:t>
      </w:r>
      <w:r>
        <w:t xml:space="preserve">One (1) Senator from CoRE-Multicultural </w:t>
      </w:r>
      <w:r w:rsidR="00C64F14">
        <w:t>to represent MCSG, Center for Inclusivity, CASA, Spiritual Life, and International</w:t>
      </w:r>
      <w:r>
        <w:t xml:space="preserve">. The constitution shall read: </w:t>
      </w:r>
    </w:p>
    <w:p w:rsidR="00EF06D1" w:rsidRDefault="00EF06D1" w:rsidP="00EF06D1">
      <w:pPr>
        <w:widowControl/>
        <w:spacing w:line="360" w:lineRule="auto"/>
        <w:contextualSpacing w:val="0"/>
      </w:pPr>
    </w:p>
    <w:p w:rsidR="00EF06D1" w:rsidRPr="00EF06D1" w:rsidRDefault="00EF06D1" w:rsidP="00EF06D1">
      <w:pPr>
        <w:widowControl/>
        <w:spacing w:line="360" w:lineRule="auto"/>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 xml:space="preserve">In addition there shall be: </w:t>
      </w:r>
    </w:p>
    <w:p w:rsidR="00EF06D1" w:rsidRPr="00EF06D1" w:rsidRDefault="00EF06D1" w:rsidP="00EF06D1">
      <w:pPr>
        <w:widowControl/>
        <w:spacing w:line="360" w:lineRule="auto"/>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Two (2) Senators at Large</w:t>
      </w:r>
    </w:p>
    <w:p w:rsidR="00EF06D1" w:rsidRPr="00EF06D1" w:rsidRDefault="00EF06D1" w:rsidP="00EF06D1">
      <w:pPr>
        <w:widowControl/>
        <w:spacing w:line="360" w:lineRule="auto"/>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 xml:space="preserve">Two (2) First year Senators </w:t>
      </w:r>
    </w:p>
    <w:p w:rsidR="00EF06D1" w:rsidRPr="00EF06D1" w:rsidRDefault="00EF06D1" w:rsidP="00EF06D1">
      <w:pPr>
        <w:widowControl/>
        <w:spacing w:line="360" w:lineRule="auto"/>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 xml:space="preserve">Three (3) Faculty or Staff Senators, who shall in no case, be the AS&amp;F advisors. </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 xml:space="preserve">Two (2) Non-Traditional Student Senators </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One (1) Senator from the School of Graduate Studies</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One (1) Senator from the Student Athletic Advisory Committee</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highlight w:val="yellow"/>
        </w:rPr>
      </w:pPr>
      <w:r w:rsidRPr="00EF06D1">
        <w:rPr>
          <w:rFonts w:ascii="Times New Roman" w:eastAsia="Times New Roman" w:hAnsi="Times New Roman" w:cs="Times New Roman"/>
          <w:color w:val="auto"/>
          <w:sz w:val="20"/>
          <w:szCs w:val="20"/>
          <w:highlight w:val="yellow"/>
        </w:rPr>
        <w:t>One (1) Senator from CoRE-Activities</w:t>
      </w:r>
      <w:r w:rsidR="00C64F14">
        <w:rPr>
          <w:rFonts w:ascii="Times New Roman" w:eastAsia="Times New Roman" w:hAnsi="Times New Roman" w:cs="Times New Roman"/>
          <w:color w:val="auto"/>
          <w:sz w:val="20"/>
          <w:szCs w:val="20"/>
          <w:highlight w:val="yellow"/>
        </w:rPr>
        <w:t xml:space="preserve"> &amp; Transitions</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highlight w:val="yellow"/>
        </w:rPr>
      </w:pPr>
      <w:r w:rsidRPr="00EF06D1">
        <w:rPr>
          <w:rFonts w:ascii="Times New Roman" w:eastAsia="Times New Roman" w:hAnsi="Times New Roman" w:cs="Times New Roman"/>
          <w:color w:val="auto"/>
          <w:sz w:val="20"/>
          <w:szCs w:val="20"/>
          <w:highlight w:val="yellow"/>
        </w:rPr>
        <w:t>One (1) Senator from CoRE-Recreation &amp; Wellness</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highlight w:val="yellow"/>
        </w:rPr>
        <w:t>One (1) Senator from CoRE-Multicultural</w:t>
      </w:r>
    </w:p>
    <w:p w:rsidR="00EF06D1" w:rsidRPr="00EF06D1" w:rsidRDefault="00EF06D1" w:rsidP="00EF06D1">
      <w:pPr>
        <w:widowControl/>
        <w:spacing w:line="360" w:lineRule="auto"/>
        <w:ind w:right="45"/>
        <w:contextualSpacing w:val="0"/>
        <w:rPr>
          <w:rFonts w:ascii="Times New Roman" w:eastAsia="Times New Roman" w:hAnsi="Times New Roman" w:cs="Times New Roman"/>
          <w:color w:val="auto"/>
          <w:sz w:val="20"/>
          <w:szCs w:val="20"/>
        </w:rPr>
      </w:pPr>
      <w:r w:rsidRPr="00EF06D1">
        <w:rPr>
          <w:rFonts w:ascii="Times New Roman" w:eastAsia="Times New Roman" w:hAnsi="Times New Roman" w:cs="Times New Roman"/>
          <w:color w:val="auto"/>
          <w:sz w:val="20"/>
          <w:szCs w:val="20"/>
        </w:rPr>
        <w:t xml:space="preserve">One (1) Club Representative from each active, funded club; this does not include active AS&amp;F Government Members. </w:t>
      </w:r>
    </w:p>
    <w:p w:rsidR="00DB0E7A" w:rsidRDefault="00DB0E7A">
      <w:pPr>
        <w:contextualSpacing w:val="0"/>
        <w:jc w:val="both"/>
      </w:pPr>
    </w:p>
    <w:p w:rsidR="00F225ED" w:rsidRPr="00BC63ED" w:rsidRDefault="008436FE">
      <w:pPr>
        <w:contextualSpacing w:val="0"/>
        <w:jc w:val="both"/>
        <w:rPr>
          <w:b/>
        </w:rPr>
      </w:pPr>
      <w:r>
        <w:t>I, Briana Gonzales</w:t>
      </w:r>
      <w:r w:rsidR="00497FB2">
        <w:t xml:space="preserve"> </w:t>
      </w:r>
      <w:r w:rsidR="00B3277C">
        <w:t>present this bill for consideration of and approval by the Associated Students and Faculty Se</w:t>
      </w:r>
      <w:r w:rsidR="001438A6">
        <w:t>nate</w:t>
      </w:r>
      <w:r w:rsidR="001438A6" w:rsidRPr="00FB2809">
        <w:t>,</w:t>
      </w:r>
      <w:r w:rsidR="0088458A" w:rsidRPr="00FB2809">
        <w:t xml:space="preserve"> </w:t>
      </w:r>
      <w:r w:rsidR="00CF07D2">
        <w:t>the</w:t>
      </w:r>
      <w:r w:rsidR="00CD7F43">
        <w:t xml:space="preserve"> 8</w:t>
      </w:r>
      <w:r w:rsidR="00BC63ED" w:rsidRPr="00D13696">
        <w:rPr>
          <w:vertAlign w:val="superscript"/>
        </w:rPr>
        <w:t>th</w:t>
      </w:r>
      <w:r w:rsidR="00CD7F43">
        <w:t>day of October</w:t>
      </w:r>
      <w:r w:rsidR="0088458A" w:rsidRPr="00FB2809">
        <w:t>, 2018.</w:t>
      </w:r>
      <w:r w:rsidR="00BC63ED">
        <w:t xml:space="preserve"> </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865CF8" w:rsidP="001F1E17">
      <w:pPr>
        <w:ind w:left="720"/>
        <w:contextualSpacing w:val="0"/>
        <w:jc w:val="both"/>
      </w:pPr>
      <w:r w:rsidRPr="00CD7F43">
        <w:lastRenderedPageBreak/>
        <w:t>The constitution</w:t>
      </w:r>
      <w:r w:rsidR="00E567AD" w:rsidRPr="00CD7F43">
        <w:t xml:space="preserve"> change of </w:t>
      </w:r>
      <w:r w:rsidR="00CD7F43" w:rsidRPr="00CD7F43">
        <w:t xml:space="preserve">Senate seats </w:t>
      </w:r>
      <w:r w:rsidRPr="00CD7F43">
        <w:t>will</w:t>
      </w:r>
      <w:r w:rsidR="001F1E17" w:rsidRPr="00CD7F43">
        <w:t xml:space="preserve"> </w:t>
      </w:r>
      <w:r w:rsidR="00E567AD" w:rsidRPr="00CD7F43">
        <w:t>be taken into effect.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85" w:rsidRDefault="00B47A85" w:rsidP="00B47A85">
      <w:pPr>
        <w:spacing w:line="240" w:lineRule="auto"/>
      </w:pPr>
      <w:r>
        <w:separator/>
      </w:r>
    </w:p>
  </w:endnote>
  <w:endnote w:type="continuationSeparator" w:id="0">
    <w:p w:rsidR="00B47A85" w:rsidRDefault="00B47A85" w:rsidP="00B4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85" w:rsidRDefault="00B47A85" w:rsidP="00B47A85">
      <w:pPr>
        <w:spacing w:line="240" w:lineRule="auto"/>
      </w:pPr>
      <w:r>
        <w:separator/>
      </w:r>
    </w:p>
  </w:footnote>
  <w:footnote w:type="continuationSeparator" w:id="0">
    <w:p w:rsidR="00B47A85" w:rsidRDefault="00B47A85" w:rsidP="00B4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A49BC"/>
    <w:multiLevelType w:val="hybridMultilevel"/>
    <w:tmpl w:val="E42E5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006B1"/>
    <w:rsid w:val="001438A6"/>
    <w:rsid w:val="001823B7"/>
    <w:rsid w:val="001F1E17"/>
    <w:rsid w:val="00280925"/>
    <w:rsid w:val="0034155E"/>
    <w:rsid w:val="00495073"/>
    <w:rsid w:val="00497FB2"/>
    <w:rsid w:val="004F2531"/>
    <w:rsid w:val="0053011A"/>
    <w:rsid w:val="005B5A52"/>
    <w:rsid w:val="00703471"/>
    <w:rsid w:val="008350AC"/>
    <w:rsid w:val="008436FE"/>
    <w:rsid w:val="008624B2"/>
    <w:rsid w:val="00865CF8"/>
    <w:rsid w:val="0088458A"/>
    <w:rsid w:val="00895CB0"/>
    <w:rsid w:val="008B3B28"/>
    <w:rsid w:val="009B16A1"/>
    <w:rsid w:val="00A65A18"/>
    <w:rsid w:val="00A8297B"/>
    <w:rsid w:val="00AC1367"/>
    <w:rsid w:val="00B3277C"/>
    <w:rsid w:val="00B47A85"/>
    <w:rsid w:val="00BB5C53"/>
    <w:rsid w:val="00BC63ED"/>
    <w:rsid w:val="00C17935"/>
    <w:rsid w:val="00C64F14"/>
    <w:rsid w:val="00CD6979"/>
    <w:rsid w:val="00CD7F43"/>
    <w:rsid w:val="00CF07D2"/>
    <w:rsid w:val="00D13696"/>
    <w:rsid w:val="00D2693D"/>
    <w:rsid w:val="00D27CAC"/>
    <w:rsid w:val="00DB0E7A"/>
    <w:rsid w:val="00E37C1B"/>
    <w:rsid w:val="00E567AD"/>
    <w:rsid w:val="00EC27DB"/>
    <w:rsid w:val="00EF06D1"/>
    <w:rsid w:val="00F225ED"/>
    <w:rsid w:val="00F237BC"/>
    <w:rsid w:val="00F25393"/>
    <w:rsid w:val="00FB2809"/>
    <w:rsid w:val="00FD34CC"/>
    <w:rsid w:val="00FE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F0C3"/>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Header">
    <w:name w:val="header"/>
    <w:basedOn w:val="Normal"/>
    <w:link w:val="HeaderChar"/>
    <w:uiPriority w:val="99"/>
    <w:unhideWhenUsed/>
    <w:rsid w:val="00B47A85"/>
    <w:pPr>
      <w:tabs>
        <w:tab w:val="center" w:pos="4680"/>
        <w:tab w:val="right" w:pos="9360"/>
      </w:tabs>
      <w:spacing w:line="240" w:lineRule="auto"/>
    </w:pPr>
  </w:style>
  <w:style w:type="character" w:customStyle="1" w:styleId="HeaderChar">
    <w:name w:val="Header Char"/>
    <w:basedOn w:val="DefaultParagraphFont"/>
    <w:link w:val="Header"/>
    <w:uiPriority w:val="99"/>
    <w:rsid w:val="00B47A85"/>
  </w:style>
  <w:style w:type="paragraph" w:styleId="Footer">
    <w:name w:val="footer"/>
    <w:basedOn w:val="Normal"/>
    <w:link w:val="FooterChar"/>
    <w:uiPriority w:val="99"/>
    <w:unhideWhenUsed/>
    <w:rsid w:val="00B47A85"/>
    <w:pPr>
      <w:tabs>
        <w:tab w:val="center" w:pos="4680"/>
        <w:tab w:val="right" w:pos="9360"/>
      </w:tabs>
      <w:spacing w:line="240" w:lineRule="auto"/>
    </w:pPr>
  </w:style>
  <w:style w:type="character" w:customStyle="1" w:styleId="FooterChar">
    <w:name w:val="Footer Char"/>
    <w:basedOn w:val="DefaultParagraphFont"/>
    <w:link w:val="Footer"/>
    <w:uiPriority w:val="99"/>
    <w:rsid w:val="00B4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ericesj</cp:lastModifiedBy>
  <cp:revision>54</cp:revision>
  <dcterms:created xsi:type="dcterms:W3CDTF">2018-04-20T18:44:00Z</dcterms:created>
  <dcterms:modified xsi:type="dcterms:W3CDTF">2018-10-07T20:04:00Z</dcterms:modified>
</cp:coreProperties>
</file>